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ab/>
        <w:tab/>
        <w:tab/>
        <w:t xml:space="preserve">BECODING SOMA GMBH</w:t>
      </w:r>
    </w:p>
    <w:p w:rsidR="00000000" w:rsidDel="00000000" w:rsidP="00000000" w:rsidRDefault="00000000" w:rsidRPr="00000000">
      <w:pPr>
        <w:spacing w:after="0" w:line="276" w:lineRule="auto"/>
        <w:ind w:left="0" w:firstLine="0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16-0321 </w:t>
        <w:tab/>
        <w:tab/>
        <w:tab/>
        <w:tab/>
        <w:t xml:space="preserve">WILHELM-KABUS-STRAßE 75, D 10829 BERLIN </w:t>
      </w:r>
    </w:p>
    <w:p w:rsidR="00000000" w:rsidDel="00000000" w:rsidP="00000000" w:rsidRDefault="00000000" w:rsidRPr="00000000">
      <w:pPr>
        <w:spacing w:after="0" w:line="276" w:lineRule="auto"/>
        <w:ind w:left="2880" w:firstLine="720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AMTSGERICHT CHARLOTTENBURG HRB 150449B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02.11.2016.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02.11.2016.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08.11.2016.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02.11.2016.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Product Scanner for Duo app, II part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920,00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 in EUR: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920,00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